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BC7CC6" w14:paraId="45B18861" w14:textId="77777777">
        <w:tc>
          <w:tcPr>
            <w:tcW w:w="1645" w:type="pct"/>
          </w:tcPr>
          <w:p w14:paraId="0AC7A20B" w14:textId="77777777" w:rsidR="00BC7CC6" w:rsidRDefault="00531CAD" w:rsidP="00FF1C0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04/2025/NQ-CP</w:t>
            </w:r>
          </w:p>
        </w:tc>
        <w:tc>
          <w:tcPr>
            <w:tcW w:w="3355" w:type="pct"/>
          </w:tcPr>
          <w:p w14:paraId="27A035DF" w14:textId="77777777" w:rsidR="00BC7CC6" w:rsidRDefault="00531CAD" w:rsidP="00FF1C0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483F767E" w14:textId="623E9D58" w:rsidR="00BC7CC6" w:rsidRPr="00DE505F" w:rsidRDefault="00531CAD" w:rsidP="00FF1C06">
            <w:pPr>
              <w:spacing w:after="0" w:line="240" w:lineRule="auto"/>
              <w:jc w:val="center"/>
              <w:rPr>
                <w:bCs/>
              </w:rPr>
            </w:pPr>
            <w:r w:rsidRPr="00DE505F">
              <w:rPr>
                <w:rFonts w:ascii="Arial" w:hAnsi="Arial"/>
                <w:bCs/>
                <w:i/>
                <w:sz w:val="20"/>
              </w:rPr>
              <w:t>Hà N</w:t>
            </w:r>
            <w:r w:rsidRPr="00DE505F">
              <w:rPr>
                <w:rFonts w:ascii="Arial" w:hAnsi="Arial"/>
                <w:bCs/>
                <w:i/>
                <w:sz w:val="20"/>
              </w:rPr>
              <w:t>ộ</w:t>
            </w:r>
            <w:r w:rsidRPr="00DE505F">
              <w:rPr>
                <w:rFonts w:ascii="Arial" w:hAnsi="Arial"/>
                <w:bCs/>
                <w:i/>
                <w:sz w:val="20"/>
              </w:rPr>
              <w:t>i,</w:t>
            </w:r>
            <w:r w:rsidR="00DE505F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Pr="00DE505F">
              <w:rPr>
                <w:rFonts w:ascii="Arial" w:hAnsi="Arial"/>
                <w:bCs/>
                <w:i/>
                <w:sz w:val="20"/>
              </w:rPr>
              <w:t>ngày 20 tháng 8 năm 2025</w:t>
            </w:r>
          </w:p>
        </w:tc>
      </w:tr>
    </w:tbl>
    <w:p w14:paraId="52203453" w14:textId="77777777" w:rsidR="00DE505F" w:rsidRDefault="00DE505F" w:rsidP="00FF1C0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529B550" w14:textId="77777777" w:rsidR="00DE505F" w:rsidRDefault="00DE505F" w:rsidP="00FF1C0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6C9CB74" w14:textId="388443CC" w:rsidR="00BC7CC6" w:rsidRDefault="00531CAD" w:rsidP="00FF1C0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</w:t>
      </w:r>
    </w:p>
    <w:p w14:paraId="468EEF4A" w14:textId="77777777" w:rsidR="00BC7CC6" w:rsidRDefault="00531CAD" w:rsidP="00FF1C0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 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tháo g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 xml:space="preserve"> khó khăn, vư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ng m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trong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khai các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án,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thông tin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</w:t>
      </w:r>
    </w:p>
    <w:p w14:paraId="44C9BC91" w14:textId="77777777" w:rsidR="00DE505F" w:rsidRDefault="00DE505F" w:rsidP="00FF1C06">
      <w:pPr>
        <w:spacing w:after="0" w:line="240" w:lineRule="auto"/>
        <w:jc w:val="center"/>
        <w:rPr>
          <w:rFonts w:ascii="Arial" w:hAnsi="Arial"/>
          <w:i/>
          <w:sz w:val="20"/>
        </w:rPr>
      </w:pPr>
    </w:p>
    <w:p w14:paraId="747ED507" w14:textId="6C1D8D7C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40BF6401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thông tin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67/2006/QH11;</w:t>
      </w:r>
    </w:p>
    <w:p w14:paraId="096C5AF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th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22/2023/QH15;</w:t>
      </w:r>
    </w:p>
    <w:p w14:paraId="1CE9D4ED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công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58/2024/QH15;</w:t>
      </w:r>
    </w:p>
    <w:p w14:paraId="519A47DC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83/2015/QH13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59/2020/QH14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56/2024/QH15;</w:t>
      </w:r>
    </w:p>
    <w:p w14:paraId="26C3B2D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th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theo phương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đ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i tác công tư,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H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i quan,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giá tr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gia tăng,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xu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 kh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 xml:space="preserve">u, </w:t>
      </w:r>
      <w:r>
        <w:rPr>
          <w:rFonts w:ascii="Arial" w:hAnsi="Arial"/>
          <w:i/>
          <w:sz w:val="20"/>
        </w:rPr>
        <w:t>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nh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p kh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u,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u tư công,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lý,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tài s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công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90/2025/QH15;</w:t>
      </w:r>
    </w:p>
    <w:p w14:paraId="3CB1B05C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64/2025/QH15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87/2025/QH15;</w:t>
      </w:r>
    </w:p>
    <w:p w14:paraId="07C79EB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 và Côn</w:t>
      </w:r>
      <w:r>
        <w:rPr>
          <w:rFonts w:ascii="Arial" w:hAnsi="Arial"/>
          <w:i/>
          <w:sz w:val="20"/>
        </w:rPr>
        <w:t>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;</w:t>
      </w:r>
    </w:p>
    <w:p w14:paraId="10210F3A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tháo g</w:t>
      </w:r>
      <w:r>
        <w:rPr>
          <w:rFonts w:ascii="Arial" w:hAnsi="Arial"/>
          <w:i/>
          <w:sz w:val="20"/>
        </w:rPr>
        <w:t>ỡ</w:t>
      </w:r>
      <w:r>
        <w:rPr>
          <w:rFonts w:ascii="Arial" w:hAnsi="Arial"/>
          <w:i/>
          <w:sz w:val="20"/>
        </w:rPr>
        <w:t xml:space="preserve"> khó khăn, vư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m</w:t>
      </w:r>
      <w:r>
        <w:rPr>
          <w:rFonts w:ascii="Arial" w:hAnsi="Arial"/>
          <w:i/>
          <w:sz w:val="20"/>
        </w:rPr>
        <w:t>ắ</w:t>
      </w:r>
      <w:r>
        <w:rPr>
          <w:rFonts w:ascii="Arial" w:hAnsi="Arial"/>
          <w:i/>
          <w:sz w:val="20"/>
        </w:rPr>
        <w:t>c trong tri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n khai các d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án,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thông tin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ng ngu</w:t>
      </w:r>
      <w:r>
        <w:rPr>
          <w:rFonts w:ascii="Arial" w:hAnsi="Arial"/>
          <w:i/>
          <w:sz w:val="20"/>
        </w:rPr>
        <w:t>ồ</w:t>
      </w:r>
      <w:r>
        <w:rPr>
          <w:rFonts w:ascii="Arial" w:hAnsi="Arial"/>
          <w:i/>
          <w:sz w:val="20"/>
        </w:rPr>
        <w:t>n v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n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c.</w:t>
      </w:r>
    </w:p>
    <w:p w14:paraId="5F51ECC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 và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64F462E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tháo g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trong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(kinh phí chi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xuyên),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E8434D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Quy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</w:t>
      </w:r>
      <w:r>
        <w:rPr>
          <w:rFonts w:ascii="Arial" w:hAnsi="Arial"/>
          <w:sz w:val="20"/>
        </w:rPr>
        <w:t>tin;</w:t>
      </w:r>
    </w:p>
    <w:p w14:paraId="00EC7AB9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tin;</w:t>
      </w:r>
    </w:p>
    <w:p w14:paraId="0B2CB16D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Quy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tin.</w:t>
      </w:r>
    </w:p>
    <w:p w14:paraId="4C9F482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là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gia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</w:t>
      </w:r>
      <w:r>
        <w:rPr>
          <w:rFonts w:ascii="Arial" w:hAnsi="Arial"/>
          <w:sz w:val="20"/>
        </w:rPr>
        <w:t>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159F4C2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khác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này.</w:t>
      </w:r>
    </w:p>
    <w:p w14:paraId="1B38753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</w:t>
      </w:r>
      <w:r>
        <w:rPr>
          <w:rFonts w:ascii="Arial" w:hAnsi="Arial"/>
          <w:b/>
          <w:sz w:val="20"/>
        </w:rPr>
        <w:t>. Quy trình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án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 xml:space="preserve">u tư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thông tin</w:t>
      </w:r>
    </w:p>
    <w:p w14:paraId="5FF68A89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Quy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ngày 05 tháng 9 năm 2019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73/2019/NĐ-CP)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82/2024/NĐ-CP ngày 10 tháng 7 năm 2024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</w:t>
      </w:r>
      <w:r>
        <w:rPr>
          <w:rFonts w:ascii="Arial" w:hAnsi="Arial"/>
          <w:sz w:val="20"/>
        </w:rPr>
        <w:t>9/NĐ-CP,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riêng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bookmarkStart w:id="0" w:name="_GoBack"/>
      <w:bookmarkEnd w:id="0"/>
      <w:r>
        <w:rPr>
          <w:rFonts w:ascii="Arial" w:hAnsi="Arial"/>
          <w:sz w:val="20"/>
        </w:rPr>
        <w:t>ày.</w:t>
      </w:r>
    </w:p>
    <w:p w14:paraId="102DA0C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</w:p>
    <w:p w14:paraId="417CF709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c: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721DF5D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026C8C87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1957C7AD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báo cáo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-k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thay cho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báo cáo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mô hình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mô hình lô-gic, mô hình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ó).</w:t>
      </w:r>
    </w:p>
    <w:p w14:paraId="5793E6E7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c:</w:t>
      </w:r>
    </w:p>
    <w:p w14:paraId="600E1F75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mua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có; mua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t; mua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mua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riêng l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; mua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73/2019/NĐ-CP;</w:t>
      </w:r>
    </w:p>
    <w:p w14:paraId="18D9A8C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không quá 20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12D2CB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xét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thì báo cáo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phép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6D185DF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c:</w:t>
      </w:r>
    </w:p>
    <w:p w14:paraId="5AD89FB8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43744676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án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nhưng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EBFF6E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</w:t>
      </w:r>
    </w:p>
    <w:p w14:paraId="0570EF0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công;</w:t>
      </w:r>
    </w:p>
    <w:p w14:paraId="588F1FA8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giao cơ quan chuyên môn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mình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án.</w:t>
      </w:r>
    </w:p>
    <w:p w14:paraId="05BE65BF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</w:t>
      </w:r>
    </w:p>
    <w:p w14:paraId="7452119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nhóm A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0B790F4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trung ương: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môn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án;</w:t>
      </w:r>
    </w:p>
    <w:p w14:paraId="3E4C7076" w14:textId="718E3511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phương: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chuyên môn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FF1C0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án.</w:t>
      </w:r>
    </w:p>
    <w:p w14:paraId="15832BE5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</w:t>
      </w:r>
    </w:p>
    <w:p w14:paraId="6437BF8A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)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cơ quan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: Không quá 30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nhóm A, trong đó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không quá 15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 xml:space="preserve"> Không quá 20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nhóm B, C, trong đó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không quá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49BBF8AF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: Không quá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nhóm A; không quá 03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nhóm B, C.</w:t>
      </w:r>
    </w:p>
    <w:p w14:paraId="4B402C76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không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tiêu, quy mô,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và không làm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lastRenderedPageBreak/>
        <w:t>tư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01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c)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đúng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toàn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đã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cho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giám sát.</w:t>
      </w:r>
    </w:p>
    <w:p w14:paraId="77F6915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riêng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</w:t>
      </w:r>
      <w:r>
        <w:rPr>
          <w:rFonts w:ascii="Arial" w:hAnsi="Arial"/>
          <w:sz w:val="20"/>
        </w:rPr>
        <w:t xml:space="preserve">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i/>
          <w:sz w:val="20"/>
        </w:rPr>
        <w:t>4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này.</w:t>
      </w:r>
    </w:p>
    <w:p w14:paraId="4933AF9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gói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hàng hóa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5EE34795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ng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tư,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án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 xml:space="preserve">u tư 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thông tin</w:t>
      </w:r>
    </w:p>
    <w:p w14:paraId="503E0D46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73/2019/NĐ-CP. Trong đó,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chi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sau:</w:t>
      </w:r>
    </w:p>
    <w:p w14:paraId="779010B7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 phí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p; chi phí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(chi phí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tin;</w:t>
      </w:r>
      <w:r>
        <w:rPr>
          <w:rFonts w:ascii="Arial" w:hAnsi="Arial"/>
          <w:sz w:val="20"/>
        </w:rPr>
        <w:t xml:space="preserve"> chi phí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hóa,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chi phí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cài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m; chi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chi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cho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chi phí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thu, bàn giao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</w:t>
      </w:r>
      <w:r>
        <w:rPr>
          <w:rFonts w:ascii="Arial" w:hAnsi="Arial"/>
          <w:sz w:val="20"/>
        </w:rPr>
        <w:t>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giá.</w:t>
      </w:r>
    </w:p>
    <w:p w14:paraId="6CDE37F6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 phí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(trong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thuê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và không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chi phí giám sát, đánh giá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án) và chi phí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chuyên gia.</w:t>
      </w:r>
    </w:p>
    <w:p w14:paraId="2415BF65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Chi phí khác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chi phí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chi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giá.</w:t>
      </w:r>
    </w:p>
    <w:p w14:paraId="715C563D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giá,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chuyên gia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chi phí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7E65461C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Quy trình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án ph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m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m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ộ</w:t>
      </w:r>
    </w:p>
    <w:p w14:paraId="0E3FAC5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có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02 bư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sau khi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thuê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sát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t),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khai).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riêng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ư sau:</w:t>
      </w:r>
    </w:p>
    <w:p w14:paraId="3BC43FE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báo cáo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</w:t>
      </w:r>
    </w:p>
    <w:p w14:paraId="72D5669F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: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trúc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</w:t>
      </w:r>
      <w:r>
        <w:rPr>
          <w:rFonts w:ascii="Arial" w:hAnsi="Arial"/>
          <w:sz w:val="20"/>
        </w:rPr>
        <w:t>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và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</w:t>
      </w:r>
    </w:p>
    <w:p w14:paraId="7FCEE7CE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minh: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án;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quy ch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ng;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mô hình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mô hình lô-gic, mô hình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đưa ra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theo phương án đã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các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bên tr</w:t>
      </w:r>
      <w:r>
        <w:rPr>
          <w:rFonts w:ascii="Arial" w:hAnsi="Arial"/>
          <w:sz w:val="20"/>
        </w:rPr>
        <w:t>ong, bên ngoài,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và tính toán (sizing) thông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3F9FC864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sơ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: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khác; sơ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p,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(đ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n); sơ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liên thông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quan;</w:t>
      </w:r>
    </w:p>
    <w:p w14:paraId="6FD77639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và các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: Các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tiêu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trong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t, cài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lastRenderedPageBreak/>
        <w:t>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t, cài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và các thông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tác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chính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37DF5701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: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73/2019/NĐ-CP;</w:t>
      </w:r>
    </w:p>
    <w:p w14:paraId="0E19833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tác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và các công tác khác có liên qua</w:t>
      </w:r>
      <w:r>
        <w:rPr>
          <w:rFonts w:ascii="Arial" w:hAnsi="Arial"/>
          <w:sz w:val="20"/>
        </w:rPr>
        <w:t>n;</w:t>
      </w:r>
    </w:p>
    <w:p w14:paraId="03CC14F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toàn thông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án.</w:t>
      </w:r>
    </w:p>
    <w:p w14:paraId="474C6FB1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không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và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28,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73/2019/NĐ-CP;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giám sát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th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thu, bàn giao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</w:t>
      </w:r>
    </w:p>
    <w:p w14:paraId="5A65A2B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Nhà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bàn giao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giám sát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0820BA1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trong </w:t>
      </w:r>
      <w:r>
        <w:rPr>
          <w:rFonts w:ascii="Arial" w:hAnsi="Arial"/>
          <w:sz w:val="20"/>
        </w:rPr>
        <w:t>quá trình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ngay sau khi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sung;</w:t>
      </w:r>
    </w:p>
    <w:p w14:paraId="6A8F3215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do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sung;</w:t>
      </w:r>
    </w:p>
    <w:p w14:paraId="12813EE7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do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thì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0356CD48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trên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</w:t>
      </w:r>
    </w:p>
    <w:p w14:paraId="340E00D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thuê nhà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sát công tác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xây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p,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cài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184264F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ói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gói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EP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46270D3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Quy trình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mua s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m, thuê d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công ngh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thông tin</w:t>
      </w:r>
    </w:p>
    <w:p w14:paraId="63323857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công,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v</w:t>
      </w:r>
      <w:r>
        <w:rPr>
          <w:rFonts w:ascii="Arial" w:hAnsi="Arial"/>
          <w:sz w:val="20"/>
        </w:rPr>
        <w:t>à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riêng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8A84124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73/2019/NĐ-CP;</w:t>
      </w:r>
    </w:p>
    <w:p w14:paraId="09D7CC4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phòng,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các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có;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t;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i);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riêng l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;</w:t>
      </w:r>
    </w:p>
    <w:p w14:paraId="36C3D313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nâng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ngay do quy trình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185443D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nâng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r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bách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ngay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mà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thì không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hoàn thành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4097A4D0" w14:textId="5EF1404D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trung ương,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FF1C0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riêng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này.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cơ quan trung ương, </w:t>
      </w:r>
      <w:r w:rsidR="00FF1C06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tra, giám sát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ngân sách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lastRenderedPageBreak/>
        <w:t>ngân sách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149A927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52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73/2019/NĐ-CP, trong đó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như sau:</w:t>
      </w:r>
    </w:p>
    <w:p w14:paraId="08F0821F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minh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hìn</w:t>
      </w:r>
      <w:r>
        <w:rPr>
          <w:rFonts w:ascii="Arial" w:hAnsi="Arial"/>
          <w:sz w:val="20"/>
        </w:rPr>
        <w:t>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m;</w:t>
      </w:r>
    </w:p>
    <w:p w14:paraId="0DBC91E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riêng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55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73/2019/NĐ-CP. Trong đó, chi phí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</w:t>
      </w:r>
      <w:r>
        <w:rPr>
          <w:rFonts w:ascii="Arial" w:hAnsi="Arial"/>
          <w:sz w:val="20"/>
        </w:rPr>
        <w:t>o báo giá; chi phí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(trư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thuê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n), chi phí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thuê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chuyên gia; chi phí khác (tr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chi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a,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giá.</w:t>
      </w:r>
    </w:p>
    <w:p w14:paraId="16368FC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báo giá, phương pháp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theo chuyên gia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chi phí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4635BF79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16FF4F1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5B88E4F0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thì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làm gián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kéo dài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2DC3BA0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</w:t>
      </w:r>
      <w:r>
        <w:rPr>
          <w:rFonts w:ascii="Arial" w:hAnsi="Arial"/>
          <w:sz w:val="20"/>
        </w:rPr>
        <w:t>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này.</w:t>
      </w:r>
    </w:p>
    <w:p w14:paraId="48C3AB01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đã có báo cáo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này.</w:t>
      </w:r>
    </w:p>
    <w:p w14:paraId="15841BC2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0829A584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ký ban hành.</w:t>
      </w:r>
    </w:p>
    <w:p w14:paraId="40BF69B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ngày 05 tháng 9 năm 2019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82/2024/NĐ-CP ngày 10 tháng </w:t>
      </w:r>
      <w:r>
        <w:rPr>
          <w:rFonts w:ascii="Arial" w:hAnsi="Arial"/>
          <w:sz w:val="20"/>
        </w:rPr>
        <w:t>7 năm 2024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73/2019/NĐ-CP ngày 05 tháng 9 năm 2019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A480E4B" w14:textId="77777777" w:rsidR="00BC7CC6" w:rsidRDefault="00531CAD" w:rsidP="00FF1C0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nhau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này.</w:t>
      </w:r>
    </w:p>
    <w:p w14:paraId="0959012E" w14:textId="77777777" w:rsidR="00BC7CC6" w:rsidRDefault="00531CAD" w:rsidP="00FF1C06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trong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 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 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không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này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hành.</w:t>
      </w:r>
    </w:p>
    <w:p w14:paraId="7E240330" w14:textId="77777777" w:rsidR="00A737DB" w:rsidRDefault="00A737DB" w:rsidP="00A737DB">
      <w:pPr>
        <w:spacing w:after="0" w:line="240" w:lineRule="auto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BC7CC6" w14:paraId="1FE3B961" w14:textId="77777777" w:rsidTr="00A737DB">
        <w:tc>
          <w:tcPr>
            <w:tcW w:w="2886" w:type="pct"/>
          </w:tcPr>
          <w:p w14:paraId="368F0273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275DCD38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5496B635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4D8F96E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02E5B334" w14:textId="39073C83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z w:val="20"/>
              </w:rPr>
              <w:t>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</w:t>
            </w:r>
            <w:r w:rsidR="007B1315">
              <w:rPr>
                <w:rFonts w:ascii="Arial" w:hAnsi="Arial"/>
                <w:sz w:val="20"/>
              </w:rPr>
              <w:t>;</w:t>
            </w:r>
          </w:p>
          <w:p w14:paraId="411874E2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6248D546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1F2AC0BD" w14:textId="47851D1C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lastRenderedPageBreak/>
              <w:t>-</w:t>
            </w:r>
            <w:r w:rsidR="00F51C3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4630D220" w14:textId="7AA445E0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FF1C06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9F9E9B1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2933C246" w14:textId="77777777" w:rsidR="00EC6E9F" w:rsidRDefault="00531CAD" w:rsidP="00A737DB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638723DC" w14:textId="34DDD252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 xml:space="preserve">n </w:t>
            </w:r>
            <w:r>
              <w:rPr>
                <w:rFonts w:ascii="Arial" w:hAnsi="Arial"/>
                <w:sz w:val="20"/>
              </w:rPr>
              <w:t>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527792BA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5044C150" w14:textId="71DDB52B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FF1C06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78B8E86F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68B9EA60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</w:t>
            </w:r>
          </w:p>
          <w:p w14:paraId="3F614F0C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c, Công báo;</w:t>
            </w:r>
          </w:p>
          <w:p w14:paraId="132267F6" w14:textId="77777777" w:rsidR="00BC7CC6" w:rsidRDefault="00531CAD" w:rsidP="00A737DB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Lưu: VT, </w:t>
            </w:r>
            <w:r>
              <w:rPr>
                <w:rFonts w:ascii="Arial" w:hAnsi="Arial"/>
                <w:sz w:val="20"/>
              </w:rPr>
              <w:t>KSTT (2). 70</w:t>
            </w:r>
          </w:p>
        </w:tc>
        <w:tc>
          <w:tcPr>
            <w:tcW w:w="2114" w:type="pct"/>
          </w:tcPr>
          <w:p w14:paraId="29FB11B9" w14:textId="77777777" w:rsidR="00BC7CC6" w:rsidRDefault="00531CAD" w:rsidP="00A737D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PHÓ 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rPr>
                <w:rFonts w:ascii="Arial" w:hAnsi="Arial"/>
                <w:b/>
                <w:sz w:val="20"/>
              </w:rPr>
              <w:t>Nguy</w:t>
            </w:r>
            <w:r>
              <w:rPr>
                <w:rFonts w:ascii="Arial" w:hAnsi="Arial"/>
                <w:b/>
                <w:sz w:val="20"/>
              </w:rPr>
              <w:t>ễ</w:t>
            </w:r>
            <w:r>
              <w:rPr>
                <w:rFonts w:ascii="Arial" w:hAnsi="Arial"/>
                <w:b/>
                <w:sz w:val="20"/>
              </w:rPr>
              <w:t>n Chí Dũng</w:t>
            </w:r>
          </w:p>
        </w:tc>
      </w:tr>
    </w:tbl>
    <w:p w14:paraId="7E4B898A" w14:textId="77777777" w:rsidR="00BC694F" w:rsidRDefault="00BC694F" w:rsidP="00FF1C06">
      <w:pPr>
        <w:spacing w:after="120" w:line="240" w:lineRule="auto"/>
        <w:ind w:firstLine="720"/>
        <w:jc w:val="both"/>
      </w:pPr>
    </w:p>
    <w:sectPr w:rsidR="00BC694F" w:rsidSect="00FF1C0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56DE" w14:textId="77777777" w:rsidR="00531CAD" w:rsidRDefault="00531CAD">
      <w:pPr>
        <w:spacing w:after="0" w:line="240" w:lineRule="auto"/>
      </w:pPr>
      <w:r>
        <w:separator/>
      </w:r>
    </w:p>
  </w:endnote>
  <w:endnote w:type="continuationSeparator" w:id="0">
    <w:p w14:paraId="19F33F8D" w14:textId="77777777" w:rsidR="00531CAD" w:rsidRDefault="0053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8B23" w14:textId="77777777" w:rsidR="00531CAD" w:rsidRDefault="00531CAD">
      <w:pPr>
        <w:spacing w:after="0" w:line="240" w:lineRule="auto"/>
      </w:pPr>
      <w:r>
        <w:separator/>
      </w:r>
    </w:p>
  </w:footnote>
  <w:footnote w:type="continuationSeparator" w:id="0">
    <w:p w14:paraId="2266A68D" w14:textId="77777777" w:rsidR="00531CAD" w:rsidRDefault="00531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C6"/>
    <w:rsid w:val="002B022B"/>
    <w:rsid w:val="00531CAD"/>
    <w:rsid w:val="007B1315"/>
    <w:rsid w:val="007F7A1B"/>
    <w:rsid w:val="0086373D"/>
    <w:rsid w:val="00A737DB"/>
    <w:rsid w:val="00BC694F"/>
    <w:rsid w:val="00BC7CC6"/>
    <w:rsid w:val="00D400E1"/>
    <w:rsid w:val="00DE505F"/>
    <w:rsid w:val="00E8640E"/>
    <w:rsid w:val="00EC6E9F"/>
    <w:rsid w:val="00F51C3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57C3"/>
  <w15:docId w15:val="{D93A953C-FF2F-4295-9ED1-448D01F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06"/>
  </w:style>
  <w:style w:type="paragraph" w:styleId="Footer">
    <w:name w:val="footer"/>
    <w:basedOn w:val="Normal"/>
    <w:link w:val="FooterChar"/>
    <w:uiPriority w:val="99"/>
    <w:unhideWhenUsed/>
    <w:rsid w:val="00FF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2911</Words>
  <Characters>16594</Characters>
  <Application>Microsoft Office Word</Application>
  <DocSecurity>0</DocSecurity>
  <Lines>138</Lines>
  <Paragraphs>38</Paragraphs>
  <ScaleCrop>false</ScaleCrop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Long</cp:lastModifiedBy>
  <cp:revision>3</cp:revision>
  <dcterms:created xsi:type="dcterms:W3CDTF">2025-08-20T09:44:00Z</dcterms:created>
  <dcterms:modified xsi:type="dcterms:W3CDTF">2025-09-25T07:15:00Z</dcterms:modified>
</cp:coreProperties>
</file>